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B9A7136" w14:textId="77777777" w:rsidR="003E6F67" w:rsidRDefault="003E6F67"/>
    <w:p w14:paraId="2EF609D9" w14:textId="77777777" w:rsidR="003E6F67" w:rsidRDefault="000C5B93">
      <w:r>
        <w:rPr>
          <w:noProof/>
          <w:sz w:val="22"/>
          <w:lang w:eastAsia="zh-TW"/>
        </w:rPr>
        <w:pict w14:anchorId="41F1B93F">
          <v:shapetype id="_x0000_t202" coordsize="21600,21600" o:spt="202" path="m0,0l0,21600,21600,21600,21600,0xe">
            <v:stroke joinstyle="miter"/>
            <v:path gradientshapeok="t" o:connecttype="rect"/>
          </v:shapetype>
          <v:shape id="_x0000_s1026" type="#_x0000_t202" style="position:absolute;margin-left:20.25pt;margin-top:1.1pt;width:98.1pt;height:21.05pt;z-index:251660288;mso-height-percent:200;mso-height-percent:200;mso-width-relative:margin;mso-height-relative:margin" filled="f" stroked="f">
            <v:textbox style="mso-next-textbox:#_x0000_s1026;mso-fit-shape-to-text:t">
              <w:txbxContent>
                <w:p w14:paraId="101A9FC7" w14:textId="77777777" w:rsidR="00052FE0" w:rsidRDefault="00052FE0"/>
              </w:txbxContent>
            </v:textbox>
          </v:shape>
        </w:pict>
      </w: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041"/>
        <w:gridCol w:w="6595"/>
      </w:tblGrid>
      <w:tr w:rsidR="003E6F67" w:rsidRPr="00804FC9" w14:paraId="23342D1A" w14:textId="77777777" w:rsidTr="00B93CDE">
        <w:trPr>
          <w:trHeight w:val="1134"/>
        </w:trPr>
        <w:tc>
          <w:tcPr>
            <w:tcW w:w="3041" w:type="dxa"/>
            <w:vMerge w:val="restart"/>
          </w:tcPr>
          <w:p w14:paraId="2FE48C85" w14:textId="77777777" w:rsidR="00520964" w:rsidRDefault="001E18C7" w:rsidP="003E6F67">
            <w:pPr>
              <w:jc w:val="center"/>
              <w:rPr>
                <w:noProof/>
                <w:sz w:val="22"/>
              </w:rPr>
            </w:pPr>
            <w:r>
              <w:rPr>
                <w:noProof/>
              </w:rPr>
              <w:drawing>
                <wp:inline distT="0" distB="0" distL="0" distR="0" wp14:anchorId="715C8FAF" wp14:editId="070118B3">
                  <wp:extent cx="1053465" cy="1316990"/>
                  <wp:effectExtent l="114300" t="95250" r="89535" b="92710"/>
                  <wp:docPr id="4" name="Picture 5" descr="Alb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right.jpg"/>
                          <pic:cNvPicPr/>
                        </pic:nvPicPr>
                        <pic:blipFill>
                          <a:blip r:embed="rId8" cstate="print"/>
                          <a:stretch>
                            <a:fillRect/>
                          </a:stretch>
                        </pic:blipFill>
                        <pic:spPr>
                          <a:xfrm>
                            <a:off x="0" y="0"/>
                            <a:ext cx="1053465" cy="1316990"/>
                          </a:xfrm>
                          <a:prstGeom prst="rect">
                            <a:avLst/>
                          </a:prstGeom>
                          <a:ln w="88900" cap="sq" cmpd="thickThin">
                            <a:solidFill>
                              <a:schemeClr val="tx2">
                                <a:lumMod val="75000"/>
                              </a:schemeClr>
                            </a:solidFill>
                            <a:prstDash val="solid"/>
                            <a:miter lim="800000"/>
                          </a:ln>
                          <a:effectLst>
                            <a:innerShdw blurRad="76200">
                              <a:srgbClr val="000000"/>
                            </a:innerShdw>
                          </a:effectLst>
                        </pic:spPr>
                      </pic:pic>
                    </a:graphicData>
                  </a:graphic>
                </wp:inline>
              </w:drawing>
            </w:r>
          </w:p>
          <w:p w14:paraId="6DEF971E" w14:textId="77777777" w:rsidR="00520964" w:rsidRDefault="00520964" w:rsidP="003E6F67">
            <w:pPr>
              <w:jc w:val="center"/>
              <w:rPr>
                <w:noProof/>
                <w:sz w:val="22"/>
              </w:rPr>
            </w:pPr>
          </w:p>
          <w:p w14:paraId="1B853AB5" w14:textId="77777777" w:rsidR="003E6F67" w:rsidRPr="00155AD7" w:rsidRDefault="003E6F67" w:rsidP="00F520ED">
            <w:pPr>
              <w:rPr>
                <w:sz w:val="22"/>
              </w:rPr>
            </w:pPr>
          </w:p>
        </w:tc>
        <w:tc>
          <w:tcPr>
            <w:tcW w:w="6595" w:type="dxa"/>
            <w:tcBorders>
              <w:bottom w:val="single" w:sz="4" w:space="0" w:color="auto"/>
            </w:tcBorders>
          </w:tcPr>
          <w:p w14:paraId="6129FF4E" w14:textId="77777777" w:rsidR="003E6F67" w:rsidRPr="00155AD7" w:rsidRDefault="00F520ED" w:rsidP="00B93CDE">
            <w:pPr>
              <w:spacing w:before="240" w:after="240"/>
              <w:ind w:left="72"/>
              <w:rPr>
                <w:sz w:val="22"/>
              </w:rPr>
            </w:pPr>
            <w:r>
              <w:rPr>
                <w:rFonts w:ascii="Times New Roman" w:hAnsi="Times New Roman"/>
                <w:b/>
                <w:caps/>
                <w:color w:val="000000" w:themeColor="text1"/>
                <w:szCs w:val="24"/>
              </w:rPr>
              <w:t xml:space="preserve">DR. </w:t>
            </w:r>
            <w:r w:rsidR="00F8144E" w:rsidRPr="00F8144E">
              <w:rPr>
                <w:rFonts w:ascii="Times New Roman" w:hAnsi="Times New Roman"/>
                <w:b/>
                <w:caps/>
                <w:color w:val="000000" w:themeColor="text1"/>
                <w:szCs w:val="24"/>
              </w:rPr>
              <w:t>Penrose (Parney) C. Albright</w:t>
            </w:r>
            <w:r w:rsidR="00E60013" w:rsidRPr="00E60013">
              <w:rPr>
                <w:rFonts w:ascii="Times New Roman" w:hAnsi="Times New Roman"/>
                <w:b/>
                <w:caps/>
                <w:color w:val="000000" w:themeColor="text1"/>
                <w:szCs w:val="24"/>
              </w:rPr>
              <w:br/>
            </w:r>
            <w:r w:rsidR="00E60013" w:rsidRPr="00052FE0">
              <w:rPr>
                <w:rFonts w:ascii="Times New Roman" w:hAnsi="Times New Roman"/>
                <w:color w:val="000000" w:themeColor="text1"/>
                <w:szCs w:val="24"/>
              </w:rPr>
              <w:t>Lawrence Livermore National</w:t>
            </w:r>
            <w:r w:rsidR="00E60013" w:rsidRPr="00052FE0">
              <w:rPr>
                <w:rFonts w:ascii="Times New Roman" w:hAnsi="Times New Roman"/>
                <w:szCs w:val="24"/>
              </w:rPr>
              <w:t xml:space="preserve"> Laboratory</w:t>
            </w:r>
          </w:p>
        </w:tc>
      </w:tr>
      <w:tr w:rsidR="003E6F67" w:rsidRPr="00804FC9" w14:paraId="1F0690C3" w14:textId="77777777" w:rsidTr="00096552">
        <w:trPr>
          <w:trHeight w:val="155"/>
        </w:trPr>
        <w:tc>
          <w:tcPr>
            <w:tcW w:w="3041" w:type="dxa"/>
            <w:vMerge/>
          </w:tcPr>
          <w:p w14:paraId="23B30927" w14:textId="77777777" w:rsidR="003E6F67" w:rsidRPr="00155AD7" w:rsidRDefault="003E6F67">
            <w:pPr>
              <w:rPr>
                <w:sz w:val="22"/>
              </w:rPr>
            </w:pPr>
          </w:p>
        </w:tc>
        <w:tc>
          <w:tcPr>
            <w:tcW w:w="6595" w:type="dxa"/>
            <w:tcBorders>
              <w:top w:val="single" w:sz="4" w:space="0" w:color="auto"/>
            </w:tcBorders>
          </w:tcPr>
          <w:p w14:paraId="2672D451" w14:textId="77777777" w:rsidR="00052FE0" w:rsidRDefault="00052FE0" w:rsidP="00052FE0">
            <w:pPr>
              <w:ind w:left="72"/>
              <w:rPr>
                <w:rFonts w:ascii="Times New Roman" w:eastAsia="Times New Roman" w:hAnsi="Times New Roman"/>
                <w:sz w:val="22"/>
                <w:szCs w:val="22"/>
              </w:rPr>
            </w:pPr>
          </w:p>
          <w:p w14:paraId="1E47F547" w14:textId="77777777" w:rsidR="00052FE0" w:rsidRDefault="00052FE0" w:rsidP="00052FE0">
            <w:pPr>
              <w:ind w:left="72"/>
              <w:rPr>
                <w:rFonts w:ascii="Times New Roman" w:eastAsia="Times New Roman" w:hAnsi="Times New Roman"/>
                <w:sz w:val="22"/>
                <w:szCs w:val="22"/>
              </w:rPr>
            </w:pPr>
            <w:r w:rsidRPr="00052FE0">
              <w:rPr>
                <w:rFonts w:ascii="Times New Roman" w:eastAsia="Times New Roman" w:hAnsi="Times New Roman"/>
                <w:sz w:val="22"/>
                <w:szCs w:val="22"/>
              </w:rPr>
              <w:t>Ph.D., Physics, University of Maryland (1985)</w:t>
            </w:r>
            <w:r w:rsidRPr="00052FE0">
              <w:rPr>
                <w:rFonts w:ascii="Times New Roman" w:eastAsia="Times New Roman" w:hAnsi="Times New Roman"/>
                <w:sz w:val="22"/>
                <w:szCs w:val="22"/>
              </w:rPr>
              <w:br/>
              <w:t>M.S., Physics, University of Maryland (1982)</w:t>
            </w:r>
            <w:r w:rsidRPr="00052FE0">
              <w:rPr>
                <w:rFonts w:ascii="Times New Roman" w:eastAsia="Times New Roman" w:hAnsi="Times New Roman"/>
                <w:sz w:val="22"/>
                <w:szCs w:val="22"/>
              </w:rPr>
              <w:br/>
              <w:t xml:space="preserve">B.S., Physics/Applied Mathematics, </w:t>
            </w:r>
          </w:p>
          <w:p w14:paraId="49997411" w14:textId="77777777" w:rsidR="003E6F67" w:rsidRPr="00052FE0" w:rsidRDefault="00052FE0" w:rsidP="00052FE0">
            <w:pPr>
              <w:ind w:left="72"/>
              <w:rPr>
                <w:rFonts w:ascii="Times New Roman" w:eastAsia="Times New Roman" w:hAnsi="Times New Roman"/>
                <w:sz w:val="22"/>
                <w:szCs w:val="22"/>
              </w:rPr>
            </w:pPr>
            <w:r w:rsidRPr="00052FE0">
              <w:rPr>
                <w:rFonts w:ascii="Times New Roman" w:eastAsia="Times New Roman" w:hAnsi="Times New Roman"/>
                <w:sz w:val="22"/>
                <w:szCs w:val="22"/>
              </w:rPr>
              <w:t>The George Washington University (1979)</w:t>
            </w:r>
            <w:r w:rsidRPr="00052FE0">
              <w:rPr>
                <w:rFonts w:ascii="Times New Roman" w:eastAsia="Times New Roman" w:hAnsi="Times New Roman"/>
                <w:sz w:val="22"/>
                <w:szCs w:val="22"/>
              </w:rPr>
              <w:br/>
            </w:r>
          </w:p>
        </w:tc>
      </w:tr>
      <w:tr w:rsidR="003E6F67" w:rsidRPr="00804FC9" w14:paraId="6872E6DD" w14:textId="77777777" w:rsidTr="00096552">
        <w:trPr>
          <w:trHeight w:val="6228"/>
        </w:trPr>
        <w:tc>
          <w:tcPr>
            <w:tcW w:w="9636" w:type="dxa"/>
            <w:gridSpan w:val="2"/>
          </w:tcPr>
          <w:p w14:paraId="59EC417C" w14:textId="49F05355" w:rsidR="00903F91" w:rsidRDefault="005C279F" w:rsidP="005C279F">
            <w:pPr>
              <w:spacing w:before="240" w:line="240" w:lineRule="atLeast"/>
              <w:rPr>
                <w:rFonts w:ascii="Times New Roman" w:eastAsia="Times New Roman" w:hAnsi="Times New Roman"/>
                <w:sz w:val="22"/>
                <w:szCs w:val="22"/>
              </w:rPr>
            </w:pPr>
            <w:r w:rsidRPr="005C279F">
              <w:rPr>
                <w:rFonts w:ascii="Times New Roman" w:eastAsia="Times New Roman" w:hAnsi="Times New Roman"/>
                <w:sz w:val="22"/>
                <w:szCs w:val="22"/>
              </w:rPr>
              <w:t xml:space="preserve">Dr. </w:t>
            </w:r>
            <w:r w:rsidR="00F520ED">
              <w:rPr>
                <w:rFonts w:ascii="Times New Roman" w:eastAsia="Times New Roman" w:hAnsi="Times New Roman"/>
                <w:sz w:val="22"/>
                <w:szCs w:val="22"/>
              </w:rPr>
              <w:t xml:space="preserve">Parney </w:t>
            </w:r>
            <w:r w:rsidRPr="005C279F">
              <w:rPr>
                <w:rFonts w:ascii="Times New Roman" w:eastAsia="Times New Roman" w:hAnsi="Times New Roman"/>
                <w:sz w:val="22"/>
                <w:szCs w:val="22"/>
              </w:rPr>
              <w:t xml:space="preserve">Albright </w:t>
            </w:r>
            <w:r w:rsidR="00903F91">
              <w:rPr>
                <w:rFonts w:ascii="Times New Roman" w:eastAsia="Times New Roman" w:hAnsi="Times New Roman"/>
                <w:sz w:val="22"/>
                <w:szCs w:val="22"/>
              </w:rPr>
              <w:t>was</w:t>
            </w:r>
            <w:r w:rsidR="00F520ED">
              <w:rPr>
                <w:rFonts w:ascii="Times New Roman" w:eastAsia="Times New Roman" w:hAnsi="Times New Roman"/>
                <w:sz w:val="22"/>
                <w:szCs w:val="22"/>
              </w:rPr>
              <w:t xml:space="preserve"> named the </w:t>
            </w:r>
            <w:r w:rsidR="002753D7">
              <w:rPr>
                <w:rFonts w:ascii="Times New Roman" w:eastAsia="Times New Roman" w:hAnsi="Times New Roman"/>
                <w:sz w:val="22"/>
                <w:szCs w:val="22"/>
              </w:rPr>
              <w:t>11</w:t>
            </w:r>
            <w:r w:rsidR="00F520ED">
              <w:rPr>
                <w:rFonts w:ascii="Times New Roman" w:eastAsia="Times New Roman" w:hAnsi="Times New Roman"/>
                <w:sz w:val="22"/>
                <w:szCs w:val="22"/>
              </w:rPr>
              <w:t>th Director of  Lawrence Livermore National Laboratory</w:t>
            </w:r>
            <w:r w:rsidR="00FA619A">
              <w:rPr>
                <w:rFonts w:ascii="Times New Roman" w:eastAsia="Times New Roman" w:hAnsi="Times New Roman"/>
                <w:sz w:val="22"/>
                <w:szCs w:val="22"/>
              </w:rPr>
              <w:t xml:space="preserve"> (LLNL</w:t>
            </w:r>
            <w:r w:rsidR="00AC09C6">
              <w:rPr>
                <w:rFonts w:ascii="Times New Roman" w:eastAsia="Times New Roman" w:hAnsi="Times New Roman"/>
                <w:sz w:val="22"/>
                <w:szCs w:val="22"/>
              </w:rPr>
              <w:t>), effective December 1, 2011.  He will be</w:t>
            </w:r>
            <w:r w:rsidR="00903F91">
              <w:rPr>
                <w:rFonts w:ascii="Times New Roman" w:eastAsia="Times New Roman" w:hAnsi="Times New Roman"/>
                <w:sz w:val="22"/>
                <w:szCs w:val="22"/>
              </w:rPr>
              <w:t xml:space="preserve"> responsible for the management of the Laboratory and </w:t>
            </w:r>
            <w:r w:rsidR="002753D7">
              <w:rPr>
                <w:rFonts w:ascii="Times New Roman" w:eastAsia="Times New Roman" w:hAnsi="Times New Roman"/>
                <w:sz w:val="22"/>
                <w:szCs w:val="22"/>
              </w:rPr>
              <w:t xml:space="preserve"> also will </w:t>
            </w:r>
            <w:r w:rsidR="00AC09C6">
              <w:rPr>
                <w:rFonts w:ascii="Times New Roman" w:eastAsia="Times New Roman" w:hAnsi="Times New Roman"/>
                <w:sz w:val="22"/>
                <w:szCs w:val="22"/>
              </w:rPr>
              <w:t xml:space="preserve"> serve</w:t>
            </w:r>
            <w:r w:rsidR="00903F91">
              <w:rPr>
                <w:rFonts w:ascii="Times New Roman" w:eastAsia="Times New Roman" w:hAnsi="Times New Roman"/>
                <w:sz w:val="22"/>
                <w:szCs w:val="22"/>
              </w:rPr>
              <w:t xml:space="preserve"> as the President of Lawrence Livermore National Security (LLNS), LLC.</w:t>
            </w:r>
          </w:p>
          <w:p w14:paraId="5799182C" w14:textId="77777777" w:rsidR="00096552" w:rsidRPr="006F6562" w:rsidRDefault="00096552" w:rsidP="006F6562">
            <w:pPr>
              <w:spacing w:before="240" w:line="240" w:lineRule="atLeast"/>
              <w:rPr>
                <w:rFonts w:ascii="Times New Roman" w:eastAsia="Times New Roman" w:hAnsi="Times New Roman"/>
                <w:sz w:val="22"/>
                <w:szCs w:val="22"/>
              </w:rPr>
            </w:pPr>
            <w:r w:rsidRPr="006F6562">
              <w:rPr>
                <w:rFonts w:ascii="Times New Roman" w:eastAsia="Times New Roman" w:hAnsi="Times New Roman"/>
                <w:sz w:val="22"/>
                <w:szCs w:val="22"/>
              </w:rPr>
              <w:t>Dr. Albright has extensive experience in executive leadership</w:t>
            </w:r>
            <w:r w:rsidR="0093633A">
              <w:rPr>
                <w:rFonts w:ascii="Times New Roman" w:eastAsia="Times New Roman" w:hAnsi="Times New Roman"/>
                <w:sz w:val="22"/>
                <w:szCs w:val="22"/>
              </w:rPr>
              <w:t>, including</w:t>
            </w:r>
            <w:r w:rsidRPr="006F6562">
              <w:rPr>
                <w:rFonts w:ascii="Times New Roman" w:eastAsia="Times New Roman" w:hAnsi="Times New Roman"/>
                <w:sz w:val="22"/>
                <w:szCs w:val="22"/>
              </w:rPr>
              <w:t xml:space="preserve"> policy direction</w:t>
            </w:r>
            <w:r w:rsidR="0093633A">
              <w:rPr>
                <w:rFonts w:ascii="Times New Roman" w:eastAsia="Times New Roman" w:hAnsi="Times New Roman"/>
                <w:sz w:val="22"/>
                <w:szCs w:val="22"/>
              </w:rPr>
              <w:t>,</w:t>
            </w:r>
            <w:r w:rsidRPr="006F6562">
              <w:rPr>
                <w:rFonts w:ascii="Times New Roman" w:eastAsia="Times New Roman" w:hAnsi="Times New Roman"/>
                <w:sz w:val="22"/>
                <w:szCs w:val="22"/>
              </w:rPr>
              <w:t xml:space="preserve"> strategic planning</w:t>
            </w:r>
            <w:r w:rsidR="0093633A">
              <w:rPr>
                <w:rFonts w:ascii="Times New Roman" w:eastAsia="Times New Roman" w:hAnsi="Times New Roman"/>
                <w:sz w:val="22"/>
                <w:szCs w:val="22"/>
              </w:rPr>
              <w:t>,</w:t>
            </w:r>
            <w:r w:rsidRPr="006F6562">
              <w:rPr>
                <w:rFonts w:ascii="Times New Roman" w:eastAsia="Times New Roman" w:hAnsi="Times New Roman"/>
                <w:sz w:val="22"/>
                <w:szCs w:val="22"/>
              </w:rPr>
              <w:t xml:space="preserve"> Congressional and Executive branch interactions</w:t>
            </w:r>
            <w:r w:rsidR="0093633A">
              <w:rPr>
                <w:rFonts w:ascii="Times New Roman" w:eastAsia="Times New Roman" w:hAnsi="Times New Roman"/>
                <w:sz w:val="22"/>
                <w:szCs w:val="22"/>
              </w:rPr>
              <w:t>,</w:t>
            </w:r>
            <w:r w:rsidRPr="006F6562">
              <w:rPr>
                <w:rFonts w:ascii="Times New Roman" w:eastAsia="Times New Roman" w:hAnsi="Times New Roman"/>
                <w:sz w:val="22"/>
                <w:szCs w:val="22"/>
              </w:rPr>
              <w:t xml:space="preserve"> financial and personnel management of large mission-focused science and technology organizations</w:t>
            </w:r>
            <w:r w:rsidR="0093633A">
              <w:rPr>
                <w:rFonts w:ascii="Times New Roman" w:eastAsia="Times New Roman" w:hAnsi="Times New Roman"/>
                <w:sz w:val="22"/>
                <w:szCs w:val="22"/>
              </w:rPr>
              <w:t>,</w:t>
            </w:r>
            <w:r w:rsidRPr="006F6562">
              <w:rPr>
                <w:rFonts w:ascii="Times New Roman" w:eastAsia="Times New Roman" w:hAnsi="Times New Roman"/>
                <w:sz w:val="22"/>
                <w:szCs w:val="22"/>
              </w:rPr>
              <w:t xml:space="preserve"> and research, development, testing, and evaluation of national security technologies and systems.  He has a broad and deep understanding of U</w:t>
            </w:r>
            <w:r w:rsidR="0093633A">
              <w:rPr>
                <w:rFonts w:ascii="Times New Roman" w:eastAsia="Times New Roman" w:hAnsi="Times New Roman"/>
                <w:sz w:val="22"/>
                <w:szCs w:val="22"/>
              </w:rPr>
              <w:t>.</w:t>
            </w:r>
            <w:r w:rsidRPr="006F6562">
              <w:rPr>
                <w:rFonts w:ascii="Times New Roman" w:eastAsia="Times New Roman" w:hAnsi="Times New Roman"/>
                <w:sz w:val="22"/>
                <w:szCs w:val="22"/>
              </w:rPr>
              <w:t>S</w:t>
            </w:r>
            <w:r w:rsidR="0093633A">
              <w:rPr>
                <w:rFonts w:ascii="Times New Roman" w:eastAsia="Times New Roman" w:hAnsi="Times New Roman"/>
                <w:sz w:val="22"/>
                <w:szCs w:val="22"/>
              </w:rPr>
              <w:t>.</w:t>
            </w:r>
            <w:r w:rsidRPr="006F6562">
              <w:rPr>
                <w:rFonts w:ascii="Times New Roman" w:eastAsia="Times New Roman" w:hAnsi="Times New Roman"/>
                <w:sz w:val="22"/>
                <w:szCs w:val="22"/>
              </w:rPr>
              <w:t xml:space="preserve"> </w:t>
            </w:r>
            <w:r w:rsidR="00827FA2">
              <w:rPr>
                <w:rFonts w:ascii="Times New Roman" w:eastAsia="Times New Roman" w:hAnsi="Times New Roman"/>
                <w:sz w:val="22"/>
                <w:szCs w:val="22"/>
              </w:rPr>
              <w:t xml:space="preserve">military </w:t>
            </w:r>
            <w:r w:rsidRPr="006F6562">
              <w:rPr>
                <w:rFonts w:ascii="Times New Roman" w:eastAsia="Times New Roman" w:hAnsi="Times New Roman"/>
                <w:sz w:val="22"/>
                <w:szCs w:val="22"/>
              </w:rPr>
              <w:t xml:space="preserve">and international </w:t>
            </w:r>
            <w:r w:rsidR="00827FA2">
              <w:rPr>
                <w:rFonts w:ascii="Times New Roman" w:eastAsia="Times New Roman" w:hAnsi="Times New Roman"/>
                <w:sz w:val="22"/>
                <w:szCs w:val="22"/>
              </w:rPr>
              <w:t>security</w:t>
            </w:r>
            <w:r w:rsidR="002753D7">
              <w:rPr>
                <w:rFonts w:ascii="Times New Roman" w:eastAsia="Times New Roman" w:hAnsi="Times New Roman"/>
                <w:sz w:val="22"/>
                <w:szCs w:val="22"/>
              </w:rPr>
              <w:t xml:space="preserve"> </w:t>
            </w:r>
            <w:r w:rsidRPr="006F6562">
              <w:rPr>
                <w:rFonts w:ascii="Times New Roman" w:eastAsia="Times New Roman" w:hAnsi="Times New Roman"/>
                <w:sz w:val="22"/>
                <w:szCs w:val="22"/>
              </w:rPr>
              <w:t xml:space="preserve">requirements, functions, and processes in the national security arena. </w:t>
            </w:r>
          </w:p>
          <w:p w14:paraId="27413FEE" w14:textId="2A0E923B" w:rsidR="006F6562" w:rsidRPr="006F6562" w:rsidRDefault="00FA619A" w:rsidP="006F6562">
            <w:pPr>
              <w:spacing w:before="240" w:line="240" w:lineRule="atLeast"/>
              <w:rPr>
                <w:rFonts w:ascii="Times New Roman" w:eastAsia="Times New Roman" w:hAnsi="Times New Roman"/>
                <w:sz w:val="22"/>
                <w:szCs w:val="22"/>
              </w:rPr>
            </w:pPr>
            <w:r>
              <w:rPr>
                <w:rFonts w:ascii="Times New Roman" w:eastAsia="Times New Roman" w:hAnsi="Times New Roman"/>
                <w:sz w:val="22"/>
                <w:szCs w:val="22"/>
              </w:rPr>
              <w:t xml:space="preserve">Dr. Albright </w:t>
            </w:r>
            <w:r w:rsidR="00B93CDE">
              <w:rPr>
                <w:rFonts w:ascii="Times New Roman" w:eastAsia="Times New Roman" w:hAnsi="Times New Roman"/>
                <w:sz w:val="22"/>
                <w:szCs w:val="22"/>
              </w:rPr>
              <w:t>has served as</w:t>
            </w:r>
            <w:r>
              <w:rPr>
                <w:rFonts w:ascii="Times New Roman" w:eastAsia="Times New Roman" w:hAnsi="Times New Roman"/>
                <w:sz w:val="22"/>
                <w:szCs w:val="22"/>
              </w:rPr>
              <w:t xml:space="preserve"> the Principal Associate Director for Global Security at</w:t>
            </w:r>
            <w:r w:rsidR="00096552" w:rsidRPr="006F6562">
              <w:rPr>
                <w:rFonts w:ascii="Times New Roman" w:eastAsia="Times New Roman" w:hAnsi="Times New Roman"/>
                <w:sz w:val="22"/>
                <w:szCs w:val="22"/>
              </w:rPr>
              <w:t xml:space="preserve"> </w:t>
            </w:r>
            <w:r>
              <w:rPr>
                <w:rFonts w:ascii="Times New Roman" w:eastAsia="Times New Roman" w:hAnsi="Times New Roman"/>
                <w:sz w:val="22"/>
                <w:szCs w:val="22"/>
              </w:rPr>
              <w:t>LLNL where he</w:t>
            </w:r>
            <w:r w:rsidR="00096552" w:rsidRPr="006F6562">
              <w:rPr>
                <w:rFonts w:ascii="Times New Roman" w:eastAsia="Times New Roman" w:hAnsi="Times New Roman"/>
                <w:sz w:val="22"/>
                <w:szCs w:val="22"/>
              </w:rPr>
              <w:t xml:space="preserve"> has provided the vision and leadership at the Laboratory for its efforts to broaden its engagement with the national security and energy communities. He has guided the Laboratory toward an emphasis on understanding mission sponsor needs and constraint</w:t>
            </w:r>
            <w:r w:rsidR="0093633A">
              <w:rPr>
                <w:rFonts w:ascii="Times New Roman" w:eastAsia="Times New Roman" w:hAnsi="Times New Roman"/>
                <w:sz w:val="22"/>
                <w:szCs w:val="22"/>
              </w:rPr>
              <w:t xml:space="preserve">s </w:t>
            </w:r>
            <w:r w:rsidR="00096552" w:rsidRPr="006F6562">
              <w:rPr>
                <w:rFonts w:ascii="Times New Roman" w:eastAsia="Times New Roman" w:hAnsi="Times New Roman"/>
                <w:sz w:val="22"/>
                <w:szCs w:val="22"/>
              </w:rPr>
              <w:t xml:space="preserve">and enhancing the Laboratory’s reputation </w:t>
            </w:r>
            <w:r w:rsidR="0093633A">
              <w:rPr>
                <w:rFonts w:ascii="Times New Roman" w:eastAsia="Times New Roman" w:hAnsi="Times New Roman"/>
                <w:sz w:val="22"/>
                <w:szCs w:val="22"/>
              </w:rPr>
              <w:t xml:space="preserve">through creation of a culture </w:t>
            </w:r>
            <w:r w:rsidR="00C02E28">
              <w:rPr>
                <w:rFonts w:ascii="Times New Roman" w:eastAsia="Times New Roman" w:hAnsi="Times New Roman"/>
                <w:sz w:val="22"/>
                <w:szCs w:val="22"/>
              </w:rPr>
              <w:t>focus</w:t>
            </w:r>
            <w:r w:rsidR="0093633A">
              <w:rPr>
                <w:rFonts w:ascii="Times New Roman" w:eastAsia="Times New Roman" w:hAnsi="Times New Roman"/>
                <w:sz w:val="22"/>
                <w:szCs w:val="22"/>
              </w:rPr>
              <w:t>ed on</w:t>
            </w:r>
            <w:r w:rsidR="00096552" w:rsidRPr="006F6562">
              <w:rPr>
                <w:rFonts w:ascii="Times New Roman" w:eastAsia="Times New Roman" w:hAnsi="Times New Roman"/>
                <w:sz w:val="22"/>
                <w:szCs w:val="22"/>
              </w:rPr>
              <w:t xml:space="preserve"> disciplined project execution and delivery.</w:t>
            </w:r>
            <w:r w:rsidR="006F6562" w:rsidRPr="006F6562">
              <w:rPr>
                <w:rFonts w:ascii="Times New Roman" w:eastAsia="Times New Roman" w:hAnsi="Times New Roman"/>
                <w:sz w:val="22"/>
                <w:szCs w:val="22"/>
              </w:rPr>
              <w:t xml:space="preserve"> Dr. Albright has successfully developed strong programmatic partnerships with Sandia and Los Alamos and has led the efforts of the three laboratories to reduce barriers that impede their ability to </w:t>
            </w:r>
            <w:r w:rsidR="00C02E28">
              <w:rPr>
                <w:rFonts w:ascii="Times New Roman" w:eastAsia="Times New Roman" w:hAnsi="Times New Roman"/>
                <w:sz w:val="22"/>
                <w:szCs w:val="22"/>
              </w:rPr>
              <w:t>apply</w:t>
            </w:r>
            <w:r w:rsidR="006F6562" w:rsidRPr="006F6562">
              <w:rPr>
                <w:rFonts w:ascii="Times New Roman" w:eastAsia="Times New Roman" w:hAnsi="Times New Roman"/>
                <w:sz w:val="22"/>
                <w:szCs w:val="22"/>
              </w:rPr>
              <w:t xml:space="preserve"> their capabilities in the service of a broader set of sponsors. </w:t>
            </w:r>
          </w:p>
          <w:p w14:paraId="0D3E4F2D" w14:textId="77777777" w:rsidR="006F6562" w:rsidRDefault="00FA619A" w:rsidP="006F6562">
            <w:pPr>
              <w:spacing w:before="240" w:line="240" w:lineRule="atLeast"/>
              <w:rPr>
                <w:rFonts w:ascii="Times New Roman" w:eastAsia="Times New Roman" w:hAnsi="Times New Roman"/>
                <w:sz w:val="22"/>
                <w:szCs w:val="22"/>
              </w:rPr>
            </w:pPr>
            <w:r>
              <w:rPr>
                <w:rFonts w:ascii="Times New Roman" w:eastAsia="Times New Roman" w:hAnsi="Times New Roman"/>
                <w:sz w:val="22"/>
                <w:szCs w:val="22"/>
              </w:rPr>
              <w:t xml:space="preserve">Before arriving at LLNL, </w:t>
            </w:r>
            <w:r w:rsidR="006F6562" w:rsidRPr="006F6562">
              <w:rPr>
                <w:rFonts w:ascii="Times New Roman" w:eastAsia="Times New Roman" w:hAnsi="Times New Roman"/>
                <w:sz w:val="22"/>
                <w:szCs w:val="22"/>
              </w:rPr>
              <w:t xml:space="preserve">Dr. Albright </w:t>
            </w:r>
            <w:r>
              <w:rPr>
                <w:rFonts w:ascii="Times New Roman" w:eastAsia="Times New Roman" w:hAnsi="Times New Roman"/>
                <w:sz w:val="22"/>
                <w:szCs w:val="22"/>
              </w:rPr>
              <w:t xml:space="preserve">was President of </w:t>
            </w:r>
            <w:proofErr w:type="spellStart"/>
            <w:r>
              <w:rPr>
                <w:rFonts w:ascii="Times New Roman" w:eastAsia="Times New Roman" w:hAnsi="Times New Roman"/>
                <w:sz w:val="22"/>
                <w:szCs w:val="22"/>
              </w:rPr>
              <w:t>Civitas</w:t>
            </w:r>
            <w:proofErr w:type="spellEnd"/>
            <w:r>
              <w:rPr>
                <w:rFonts w:ascii="Times New Roman" w:eastAsia="Times New Roman" w:hAnsi="Times New Roman"/>
                <w:sz w:val="22"/>
                <w:szCs w:val="22"/>
              </w:rPr>
              <w:t xml:space="preserve"> Group, LLC where he led high</w:t>
            </w:r>
            <w:r w:rsidR="006F6562" w:rsidRPr="006F6562">
              <w:rPr>
                <w:rFonts w:ascii="Times New Roman" w:eastAsia="Times New Roman" w:hAnsi="Times New Roman"/>
                <w:sz w:val="22"/>
                <w:szCs w:val="22"/>
              </w:rPr>
              <w:t xml:space="preserve"> profile projects</w:t>
            </w:r>
            <w:r>
              <w:rPr>
                <w:rFonts w:ascii="Times New Roman" w:eastAsia="Times New Roman" w:hAnsi="Times New Roman"/>
                <w:sz w:val="22"/>
                <w:szCs w:val="22"/>
              </w:rPr>
              <w:t>,</w:t>
            </w:r>
            <w:r w:rsidR="006F6562" w:rsidRPr="006F6562">
              <w:rPr>
                <w:rFonts w:ascii="Times New Roman" w:eastAsia="Times New Roman" w:hAnsi="Times New Roman"/>
                <w:sz w:val="22"/>
                <w:szCs w:val="22"/>
              </w:rPr>
              <w:t xml:space="preserve"> </w:t>
            </w:r>
            <w:r>
              <w:rPr>
                <w:rFonts w:ascii="Times New Roman" w:eastAsia="Times New Roman" w:hAnsi="Times New Roman"/>
                <w:sz w:val="22"/>
                <w:szCs w:val="22"/>
              </w:rPr>
              <w:t xml:space="preserve">such as: </w:t>
            </w:r>
            <w:r w:rsidR="006F6562" w:rsidRPr="006F6562">
              <w:rPr>
                <w:rFonts w:ascii="Times New Roman" w:eastAsia="Times New Roman" w:hAnsi="Times New Roman"/>
                <w:sz w:val="22"/>
                <w:szCs w:val="22"/>
              </w:rPr>
              <w:t>providing a net assessment of the nation's biodefense enterprise as mandated by Presidential directive HSPD-10; and conducting critical analyses of the first Quadrennial Homeland Security Review</w:t>
            </w:r>
            <w:r w:rsidR="0093633A">
              <w:rPr>
                <w:rFonts w:ascii="Times New Roman" w:eastAsia="Times New Roman" w:hAnsi="Times New Roman"/>
                <w:sz w:val="22"/>
                <w:szCs w:val="22"/>
              </w:rPr>
              <w:t>,</w:t>
            </w:r>
            <w:r w:rsidR="006F6562" w:rsidRPr="006F6562">
              <w:rPr>
                <w:rFonts w:ascii="Times New Roman" w:eastAsia="Times New Roman" w:hAnsi="Times New Roman"/>
                <w:sz w:val="22"/>
                <w:szCs w:val="22"/>
              </w:rPr>
              <w:t xml:space="preserve"> which contributed materially to the final re</w:t>
            </w:r>
            <w:r w:rsidR="0093633A">
              <w:rPr>
                <w:rFonts w:ascii="Times New Roman" w:eastAsia="Times New Roman" w:hAnsi="Times New Roman"/>
                <w:sz w:val="22"/>
                <w:szCs w:val="22"/>
              </w:rPr>
              <w:t>sult</w:t>
            </w:r>
            <w:r w:rsidR="006F6562" w:rsidRPr="006F6562">
              <w:rPr>
                <w:rFonts w:ascii="Times New Roman" w:eastAsia="Times New Roman" w:hAnsi="Times New Roman"/>
                <w:sz w:val="22"/>
                <w:szCs w:val="22"/>
              </w:rPr>
              <w:t xml:space="preserve"> and created an analytic construct for setting priorities and making investment decisions that has been embraced by DHS leadership.</w:t>
            </w:r>
          </w:p>
          <w:p w14:paraId="2A70304A" w14:textId="77777777" w:rsidR="006F6562" w:rsidRPr="00E10B69" w:rsidRDefault="00E10B69" w:rsidP="006F6562">
            <w:pPr>
              <w:spacing w:before="240" w:line="240" w:lineRule="atLeast"/>
              <w:rPr>
                <w:rFonts w:ascii="Times New Roman" w:eastAsia="Times New Roman" w:hAnsi="Times New Roman"/>
                <w:sz w:val="22"/>
                <w:szCs w:val="22"/>
              </w:rPr>
            </w:pPr>
            <w:r w:rsidRPr="00E10B69">
              <w:rPr>
                <w:rFonts w:ascii="Times New Roman" w:eastAsia="Times New Roman" w:hAnsi="Times New Roman"/>
                <w:sz w:val="22"/>
                <w:szCs w:val="22"/>
              </w:rPr>
              <w:t xml:space="preserve">Prior to </w:t>
            </w:r>
            <w:proofErr w:type="spellStart"/>
            <w:r w:rsidRPr="00E10B69">
              <w:rPr>
                <w:rFonts w:ascii="Times New Roman" w:eastAsia="Times New Roman" w:hAnsi="Times New Roman"/>
                <w:sz w:val="22"/>
                <w:szCs w:val="22"/>
              </w:rPr>
              <w:t>Civitas</w:t>
            </w:r>
            <w:proofErr w:type="spellEnd"/>
            <w:r w:rsidRPr="00E10B69">
              <w:rPr>
                <w:rFonts w:ascii="Times New Roman" w:eastAsia="Times New Roman" w:hAnsi="Times New Roman"/>
                <w:sz w:val="22"/>
                <w:szCs w:val="22"/>
              </w:rPr>
              <w:t xml:space="preserve">, </w:t>
            </w:r>
            <w:r w:rsidR="005D31EE" w:rsidRPr="00E10B69">
              <w:rPr>
                <w:rFonts w:ascii="Times New Roman" w:eastAsia="Times New Roman" w:hAnsi="Times New Roman"/>
                <w:sz w:val="22"/>
                <w:szCs w:val="22"/>
              </w:rPr>
              <w:t>Dr. Albright was confirmed by the Senate to the position of Assistant Secretary</w:t>
            </w:r>
            <w:r w:rsidRPr="00E10B69">
              <w:rPr>
                <w:rFonts w:ascii="Times New Roman" w:eastAsia="Times New Roman" w:hAnsi="Times New Roman"/>
                <w:sz w:val="22"/>
                <w:szCs w:val="22"/>
              </w:rPr>
              <w:t xml:space="preserve"> of the Department of Homeland Security</w:t>
            </w:r>
            <w:r w:rsidR="005D31EE" w:rsidRPr="00E10B69">
              <w:rPr>
                <w:rFonts w:ascii="Times New Roman" w:eastAsia="Times New Roman" w:hAnsi="Times New Roman"/>
                <w:sz w:val="22"/>
                <w:szCs w:val="22"/>
              </w:rPr>
              <w:t xml:space="preserve"> on October 3, 2003. His responsibilities included developing the multi-year strategic planning guidance and budget execution for the complete portfolio of programs comprising the Science and Technology Directorate.  Dr. Albright provided the vision and scientific leadership that created a multitude of diverse, high-impact RDT&amp;E activities</w:t>
            </w:r>
            <w:r w:rsidR="0093633A">
              <w:rPr>
                <w:rFonts w:ascii="Times New Roman" w:eastAsia="Times New Roman" w:hAnsi="Times New Roman"/>
                <w:sz w:val="22"/>
                <w:szCs w:val="22"/>
              </w:rPr>
              <w:t xml:space="preserve"> for this newly created organization.  </w:t>
            </w:r>
            <w:r w:rsidR="005D31EE" w:rsidRPr="00E10B69">
              <w:rPr>
                <w:rFonts w:ascii="Times New Roman" w:eastAsia="Times New Roman" w:hAnsi="Times New Roman"/>
                <w:sz w:val="22"/>
                <w:szCs w:val="22"/>
              </w:rPr>
              <w:t>Under his leadership and guidance</w:t>
            </w:r>
            <w:r w:rsidR="0093633A">
              <w:rPr>
                <w:rFonts w:ascii="Times New Roman" w:eastAsia="Times New Roman" w:hAnsi="Times New Roman"/>
                <w:sz w:val="22"/>
                <w:szCs w:val="22"/>
              </w:rPr>
              <w:t>,</w:t>
            </w:r>
            <w:r w:rsidR="005D31EE" w:rsidRPr="00E10B69">
              <w:rPr>
                <w:rFonts w:ascii="Times New Roman" w:eastAsia="Times New Roman" w:hAnsi="Times New Roman"/>
                <w:sz w:val="22"/>
                <w:szCs w:val="22"/>
              </w:rPr>
              <w:t xml:space="preserve"> major new national efforts were created in radiological and nuclear security; biological, chemical, and explosives defense; border security, trade and travel facilitation; aviation and other aspects of transportation security; national incident emergency response and consequence management; and critical infrastructure protection.</w:t>
            </w:r>
          </w:p>
          <w:p w14:paraId="2CF9508A" w14:textId="77777777" w:rsidR="00B93CDE" w:rsidRDefault="00B93CDE" w:rsidP="00E10B69">
            <w:pPr>
              <w:spacing w:before="240" w:line="240" w:lineRule="atLeast"/>
              <w:rPr>
                <w:rFonts w:ascii="Times New Roman" w:eastAsia="Times New Roman" w:hAnsi="Times New Roman"/>
                <w:sz w:val="22"/>
                <w:szCs w:val="22"/>
              </w:rPr>
            </w:pPr>
          </w:p>
          <w:p w14:paraId="739386CF" w14:textId="77777777" w:rsidR="005D31EE" w:rsidRDefault="005D31EE" w:rsidP="00E10B69">
            <w:pPr>
              <w:spacing w:before="240" w:line="240" w:lineRule="atLeast"/>
              <w:rPr>
                <w:rFonts w:ascii="Times New Roman" w:eastAsia="Times New Roman" w:hAnsi="Times New Roman"/>
                <w:sz w:val="22"/>
                <w:szCs w:val="22"/>
              </w:rPr>
            </w:pPr>
            <w:r w:rsidRPr="00E10B69">
              <w:rPr>
                <w:rFonts w:ascii="Times New Roman" w:eastAsia="Times New Roman" w:hAnsi="Times New Roman"/>
                <w:sz w:val="22"/>
                <w:szCs w:val="22"/>
              </w:rPr>
              <w:lastRenderedPageBreak/>
              <w:t xml:space="preserve">Dr. Albright concurrently held the positions of Senior Director for Research and Development in the Office of Homeland Security and Assistant Director for Homeland and National Security within the Office of Science and Technology Policy.  He was the lead official within the White House responsible for providing advice to the Executive Office of the President on science and technology issues surrounding homeland security, and on the threat of biological, nuclear, and chemical terrorism.  </w:t>
            </w:r>
          </w:p>
          <w:p w14:paraId="26B3FB7E" w14:textId="77777777" w:rsidR="002753D7" w:rsidRDefault="002753D7" w:rsidP="00FE1377">
            <w:pPr>
              <w:rPr>
                <w:rFonts w:ascii="Times New Roman" w:eastAsia="Times New Roman" w:hAnsi="Times New Roman"/>
                <w:sz w:val="22"/>
                <w:szCs w:val="22"/>
              </w:rPr>
            </w:pPr>
          </w:p>
          <w:p w14:paraId="61C3DCF9" w14:textId="77777777" w:rsidR="00FE1377" w:rsidRPr="00FE1377" w:rsidRDefault="00E10B69" w:rsidP="00FE1377">
            <w:pPr>
              <w:rPr>
                <w:rFonts w:ascii="Times New Roman" w:eastAsia="Times New Roman" w:hAnsi="Times New Roman"/>
                <w:sz w:val="22"/>
                <w:szCs w:val="22"/>
              </w:rPr>
            </w:pPr>
            <w:bookmarkStart w:id="0" w:name="_GoBack"/>
            <w:bookmarkEnd w:id="0"/>
            <w:r>
              <w:rPr>
                <w:rFonts w:ascii="Times New Roman" w:eastAsia="Times New Roman" w:hAnsi="Times New Roman"/>
                <w:sz w:val="22"/>
                <w:szCs w:val="22"/>
              </w:rPr>
              <w:t xml:space="preserve">Past accomplishments include working </w:t>
            </w:r>
            <w:r w:rsidR="005D31EE" w:rsidRPr="00E10B69">
              <w:rPr>
                <w:rFonts w:ascii="Times New Roman" w:eastAsia="Times New Roman" w:hAnsi="Times New Roman"/>
                <w:sz w:val="22"/>
                <w:szCs w:val="22"/>
              </w:rPr>
              <w:t>at</w:t>
            </w:r>
            <w:r>
              <w:rPr>
                <w:rFonts w:ascii="Times New Roman" w:eastAsia="Times New Roman" w:hAnsi="Times New Roman"/>
                <w:sz w:val="22"/>
                <w:szCs w:val="22"/>
              </w:rPr>
              <w:t xml:space="preserve"> the</w:t>
            </w:r>
            <w:r w:rsidR="005D31EE" w:rsidRPr="00E10B69">
              <w:rPr>
                <w:rFonts w:ascii="Times New Roman" w:eastAsia="Times New Roman" w:hAnsi="Times New Roman"/>
                <w:sz w:val="22"/>
                <w:szCs w:val="22"/>
              </w:rPr>
              <w:t xml:space="preserve"> </w:t>
            </w:r>
            <w:r>
              <w:rPr>
                <w:rFonts w:ascii="Times New Roman" w:eastAsia="Times New Roman" w:hAnsi="Times New Roman"/>
                <w:sz w:val="22"/>
                <w:szCs w:val="22"/>
              </w:rPr>
              <w:t>Defense Advanced Research Projects Agency (</w:t>
            </w:r>
            <w:r w:rsidR="005D31EE" w:rsidRPr="00E10B69">
              <w:rPr>
                <w:rFonts w:ascii="Times New Roman" w:eastAsia="Times New Roman" w:hAnsi="Times New Roman"/>
                <w:sz w:val="22"/>
                <w:szCs w:val="22"/>
              </w:rPr>
              <w:t>DARPA</w:t>
            </w:r>
            <w:r>
              <w:rPr>
                <w:rFonts w:ascii="Times New Roman" w:eastAsia="Times New Roman" w:hAnsi="Times New Roman"/>
                <w:sz w:val="22"/>
                <w:szCs w:val="22"/>
              </w:rPr>
              <w:t>)</w:t>
            </w:r>
            <w:r w:rsidR="005D31EE" w:rsidRPr="00E10B69">
              <w:rPr>
                <w:rFonts w:ascii="Times New Roman" w:eastAsia="Times New Roman" w:hAnsi="Times New Roman"/>
                <w:sz w:val="22"/>
                <w:szCs w:val="22"/>
              </w:rPr>
              <w:t xml:space="preserve"> </w:t>
            </w:r>
            <w:r>
              <w:rPr>
                <w:rFonts w:ascii="Times New Roman" w:eastAsia="Times New Roman" w:hAnsi="Times New Roman"/>
                <w:sz w:val="22"/>
                <w:szCs w:val="22"/>
              </w:rPr>
              <w:t>where</w:t>
            </w:r>
            <w:r w:rsidR="005D31EE" w:rsidRPr="00E10B69">
              <w:rPr>
                <w:rFonts w:ascii="Times New Roman" w:eastAsia="Times New Roman" w:hAnsi="Times New Roman"/>
                <w:sz w:val="22"/>
                <w:szCs w:val="22"/>
              </w:rPr>
              <w:t xml:space="preserve"> he developed and managed several multi-million dollar programs associated with special operations, intelligence collection, molecular biology, communications, and maritime operations.</w:t>
            </w:r>
            <w:r w:rsidR="001704A9">
              <w:rPr>
                <w:rFonts w:ascii="Times New Roman" w:eastAsia="Times New Roman" w:hAnsi="Times New Roman"/>
                <w:sz w:val="22"/>
                <w:szCs w:val="22"/>
              </w:rPr>
              <w:t xml:space="preserve">  He also worked as research staff at the Institute for Defense Analyses (IDA) where </w:t>
            </w:r>
            <w:r w:rsidR="00C02E28">
              <w:rPr>
                <w:rFonts w:ascii="Times New Roman" w:eastAsia="Times New Roman" w:hAnsi="Times New Roman"/>
                <w:sz w:val="22"/>
                <w:szCs w:val="22"/>
              </w:rPr>
              <w:t xml:space="preserve">he </w:t>
            </w:r>
            <w:r w:rsidR="005D31EE" w:rsidRPr="00E10B69">
              <w:rPr>
                <w:rFonts w:ascii="Times New Roman" w:eastAsia="Times New Roman" w:hAnsi="Times New Roman"/>
                <w:sz w:val="22"/>
                <w:szCs w:val="22"/>
              </w:rPr>
              <w:t>became an internationally recognized scientific expert on ballistic and cruise missile defense systems; space based infrared and launch detection systems; and weapons and sensor system design and analysis.</w:t>
            </w:r>
            <w:r w:rsidR="00FE1377" w:rsidRPr="00EA7C0D">
              <w:rPr>
                <w:rFonts w:asciiTheme="majorHAnsi" w:hAnsiTheme="majorHAnsi"/>
                <w:szCs w:val="22"/>
              </w:rPr>
              <w:t xml:space="preserve"> </w:t>
            </w:r>
            <w:r w:rsidR="00FE1377">
              <w:rPr>
                <w:rFonts w:ascii="Times New Roman" w:eastAsia="Times New Roman" w:hAnsi="Times New Roman"/>
                <w:sz w:val="22"/>
                <w:szCs w:val="22"/>
              </w:rPr>
              <w:t xml:space="preserve">Dr. Albright </w:t>
            </w:r>
            <w:r w:rsidR="00FE1377" w:rsidRPr="00FE1377">
              <w:rPr>
                <w:rFonts w:ascii="Times New Roman" w:eastAsia="Times New Roman" w:hAnsi="Times New Roman"/>
                <w:sz w:val="22"/>
                <w:szCs w:val="22"/>
              </w:rPr>
              <w:t xml:space="preserve">designed and executed several experiments, including one carried out by the crew of the Space Shuttle (STS 39). </w:t>
            </w:r>
          </w:p>
          <w:p w14:paraId="3201323F" w14:textId="77777777" w:rsidR="005D31EE" w:rsidRDefault="005D31EE" w:rsidP="006F6562">
            <w:pPr>
              <w:spacing w:before="240" w:line="240" w:lineRule="atLeast"/>
              <w:rPr>
                <w:rFonts w:ascii="Times New Roman" w:eastAsia="Times New Roman" w:hAnsi="Times New Roman"/>
                <w:sz w:val="22"/>
                <w:szCs w:val="22"/>
              </w:rPr>
            </w:pPr>
          </w:p>
          <w:p w14:paraId="72F1630A" w14:textId="77777777" w:rsidR="005D31EE" w:rsidRDefault="005D31EE" w:rsidP="006F6562">
            <w:pPr>
              <w:spacing w:before="240" w:line="240" w:lineRule="atLeast"/>
              <w:rPr>
                <w:rFonts w:ascii="Times New Roman" w:eastAsia="Times New Roman" w:hAnsi="Times New Roman"/>
                <w:sz w:val="22"/>
                <w:szCs w:val="22"/>
              </w:rPr>
            </w:pPr>
          </w:p>
          <w:p w14:paraId="317173C4" w14:textId="77777777" w:rsidR="003E6F67" w:rsidRPr="005C279F" w:rsidRDefault="005C279F" w:rsidP="00FE1377">
            <w:pPr>
              <w:spacing w:before="240" w:line="240" w:lineRule="atLeast"/>
              <w:rPr>
                <w:rFonts w:ascii="Times New Roman" w:eastAsia="Times New Roman" w:hAnsi="Times New Roman"/>
                <w:sz w:val="22"/>
                <w:szCs w:val="22"/>
              </w:rPr>
            </w:pPr>
            <w:r>
              <w:rPr>
                <w:rFonts w:ascii="Times New Roman" w:eastAsia="Times New Roman" w:hAnsi="Times New Roman"/>
                <w:sz w:val="22"/>
                <w:szCs w:val="22"/>
              </w:rPr>
              <w:br/>
            </w:r>
          </w:p>
        </w:tc>
      </w:tr>
    </w:tbl>
    <w:p w14:paraId="1B0FA320" w14:textId="77777777" w:rsidR="003E6F67" w:rsidRDefault="003E6F67" w:rsidP="00822257">
      <w:pPr>
        <w:jc w:val="both"/>
        <w:rPr>
          <w:color w:val="000000"/>
        </w:rPr>
      </w:pPr>
    </w:p>
    <w:sectPr w:rsidR="003E6F67" w:rsidSect="00C02E28">
      <w:headerReference w:type="default" r:id="rId9"/>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82959AD" w14:textId="77777777" w:rsidR="000E6D53" w:rsidRDefault="000E6D53">
      <w:r>
        <w:separator/>
      </w:r>
    </w:p>
  </w:endnote>
  <w:endnote w:type="continuationSeparator" w:id="0">
    <w:p w14:paraId="7305FB7D" w14:textId="77777777" w:rsidR="000E6D53" w:rsidRDefault="000E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01D42B3" w14:textId="77777777" w:rsidR="000E6D53" w:rsidRDefault="000E6D53">
      <w:r>
        <w:separator/>
      </w:r>
    </w:p>
  </w:footnote>
  <w:footnote w:type="continuationSeparator" w:id="0">
    <w:p w14:paraId="1A96070A" w14:textId="77777777" w:rsidR="000E6D53" w:rsidRDefault="000E6D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7303C" w14:textId="77777777" w:rsidR="00B2328F" w:rsidRDefault="00B2328F" w:rsidP="003E6F67">
    <w:pPr>
      <w:pStyle w:val="Header"/>
      <w:jc w:val="right"/>
      <w:rPr>
        <w:b/>
        <w:sz w:val="40"/>
      </w:rPr>
    </w:pPr>
    <w:r w:rsidRPr="00603400">
      <w:rPr>
        <w:b/>
        <w:sz w:val="40"/>
      </w:rPr>
      <w:t>Lawrence Livermore National Laboratory</w:t>
    </w:r>
  </w:p>
  <w:p w14:paraId="4AE22C49" w14:textId="77777777" w:rsidR="00C02E28" w:rsidRPr="00603400" w:rsidRDefault="00C02E28" w:rsidP="003E6F67">
    <w:pPr>
      <w:pStyle w:val="Header"/>
      <w:jc w:val="right"/>
      <w:rPr>
        <w:b/>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6EA5"/>
    <w:rsid w:val="00052FE0"/>
    <w:rsid w:val="00096552"/>
    <w:rsid w:val="000C5B93"/>
    <w:rsid w:val="000E6D53"/>
    <w:rsid w:val="001704A9"/>
    <w:rsid w:val="001E18C7"/>
    <w:rsid w:val="002753D7"/>
    <w:rsid w:val="0027546C"/>
    <w:rsid w:val="002D25C1"/>
    <w:rsid w:val="00336CC7"/>
    <w:rsid w:val="003958C6"/>
    <w:rsid w:val="003A38A9"/>
    <w:rsid w:val="003E6F67"/>
    <w:rsid w:val="0047621F"/>
    <w:rsid w:val="004813AC"/>
    <w:rsid w:val="005167AA"/>
    <w:rsid w:val="00520964"/>
    <w:rsid w:val="005B6928"/>
    <w:rsid w:val="005C1EB4"/>
    <w:rsid w:val="005C279F"/>
    <w:rsid w:val="005D31EE"/>
    <w:rsid w:val="005F10D8"/>
    <w:rsid w:val="006F6562"/>
    <w:rsid w:val="00720FE1"/>
    <w:rsid w:val="007B4A17"/>
    <w:rsid w:val="00822257"/>
    <w:rsid w:val="00827FA2"/>
    <w:rsid w:val="00903F91"/>
    <w:rsid w:val="0093633A"/>
    <w:rsid w:val="00977D1D"/>
    <w:rsid w:val="009A6A99"/>
    <w:rsid w:val="00AC09C6"/>
    <w:rsid w:val="00AD0BFE"/>
    <w:rsid w:val="00B22E89"/>
    <w:rsid w:val="00B2328F"/>
    <w:rsid w:val="00B93CDE"/>
    <w:rsid w:val="00C02E28"/>
    <w:rsid w:val="00C10FCE"/>
    <w:rsid w:val="00C1522A"/>
    <w:rsid w:val="00C97D03"/>
    <w:rsid w:val="00D250EE"/>
    <w:rsid w:val="00D74F51"/>
    <w:rsid w:val="00DC71D8"/>
    <w:rsid w:val="00E10B69"/>
    <w:rsid w:val="00E60013"/>
    <w:rsid w:val="00E86DAD"/>
    <w:rsid w:val="00ED6EA5"/>
    <w:rsid w:val="00F2602D"/>
    <w:rsid w:val="00F520ED"/>
    <w:rsid w:val="00F8144E"/>
    <w:rsid w:val="00FA619A"/>
    <w:rsid w:val="00FE1377"/>
    <w:rsid w:val="00FE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fillcolor="none" strokecolor="none"/>
    </o:shapedefaults>
    <o:shapelayout v:ext="edit">
      <o:idmap v:ext="edit" data="1"/>
    </o:shapelayout>
  </w:shapeDefaults>
  <w:decimalSymbol w:val="."/>
  <w:listSeparator w:val=","/>
  <w14:docId w14:val="39C1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FE"/>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0BFE"/>
    <w:pPr>
      <w:tabs>
        <w:tab w:val="center" w:pos="4320"/>
        <w:tab w:val="right" w:pos="8640"/>
      </w:tabs>
    </w:pPr>
  </w:style>
  <w:style w:type="paragraph" w:styleId="Footer">
    <w:name w:val="footer"/>
    <w:basedOn w:val="Normal"/>
    <w:rsid w:val="00AD0BFE"/>
    <w:pPr>
      <w:tabs>
        <w:tab w:val="center" w:pos="4320"/>
        <w:tab w:val="right" w:pos="8640"/>
      </w:tabs>
    </w:pPr>
  </w:style>
  <w:style w:type="table" w:styleId="TableGrid">
    <w:name w:val="Table Grid"/>
    <w:basedOn w:val="TableNormal"/>
    <w:rsid w:val="00877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0013"/>
    <w:rPr>
      <w:rFonts w:ascii="Tahoma" w:hAnsi="Tahoma" w:cs="Tahoma"/>
      <w:sz w:val="16"/>
      <w:szCs w:val="16"/>
    </w:rPr>
  </w:style>
  <w:style w:type="character" w:customStyle="1" w:styleId="BalloonTextChar">
    <w:name w:val="Balloon Text Char"/>
    <w:basedOn w:val="DefaultParagraphFont"/>
    <w:link w:val="BalloonText"/>
    <w:uiPriority w:val="99"/>
    <w:semiHidden/>
    <w:rsid w:val="00E60013"/>
    <w:rPr>
      <w:rFonts w:ascii="Tahoma" w:eastAsia="Times" w:hAnsi="Tahoma" w:cs="Tahoma"/>
      <w:sz w:val="16"/>
      <w:szCs w:val="16"/>
    </w:rPr>
  </w:style>
  <w:style w:type="paragraph" w:customStyle="1" w:styleId="StyleStyleHeading3105pt11ptItalicBefore0ptAft">
    <w:name w:val="Style Style Heading 3 + 10.5 pt + 11 pt Italic Before:  0 pt Aft..."/>
    <w:basedOn w:val="Normal"/>
    <w:rsid w:val="003E6F67"/>
    <w:pPr>
      <w:keepNext/>
      <w:keepLines/>
      <w:tabs>
        <w:tab w:val="center" w:pos="1080"/>
        <w:tab w:val="center" w:pos="3240"/>
        <w:tab w:val="center" w:pos="6840"/>
        <w:tab w:val="center" w:pos="9000"/>
      </w:tabs>
      <w:spacing w:before="180" w:after="60"/>
      <w:outlineLvl w:val="2"/>
    </w:pPr>
    <w:rPr>
      <w:rFonts w:ascii="Trebuchet MS" w:eastAsia="Times New Roman" w:hAnsi="Trebuchet MS"/>
      <w:b/>
      <w:bCs/>
      <w:i/>
      <w:iCs/>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8006">
      <w:bodyDiv w:val="1"/>
      <w:marLeft w:val="0"/>
      <w:marRight w:val="0"/>
      <w:marTop w:val="0"/>
      <w:marBottom w:val="0"/>
      <w:divBdr>
        <w:top w:val="none" w:sz="0" w:space="0" w:color="auto"/>
        <w:left w:val="none" w:sz="0" w:space="0" w:color="auto"/>
        <w:bottom w:val="none" w:sz="0" w:space="0" w:color="auto"/>
        <w:right w:val="none" w:sz="0" w:space="0" w:color="auto"/>
      </w:divBdr>
    </w:div>
    <w:div w:id="59258973">
      <w:bodyDiv w:val="1"/>
      <w:marLeft w:val="0"/>
      <w:marRight w:val="0"/>
      <w:marTop w:val="0"/>
      <w:marBottom w:val="0"/>
      <w:divBdr>
        <w:top w:val="none" w:sz="0" w:space="0" w:color="auto"/>
        <w:left w:val="none" w:sz="0" w:space="0" w:color="auto"/>
        <w:bottom w:val="none" w:sz="0" w:space="0" w:color="auto"/>
        <w:right w:val="none" w:sz="0" w:space="0" w:color="auto"/>
      </w:divBdr>
    </w:div>
    <w:div w:id="94833625">
      <w:bodyDiv w:val="1"/>
      <w:marLeft w:val="0"/>
      <w:marRight w:val="0"/>
      <w:marTop w:val="0"/>
      <w:marBottom w:val="0"/>
      <w:divBdr>
        <w:top w:val="none" w:sz="0" w:space="0" w:color="auto"/>
        <w:left w:val="none" w:sz="0" w:space="0" w:color="auto"/>
        <w:bottom w:val="none" w:sz="0" w:space="0" w:color="auto"/>
        <w:right w:val="none" w:sz="0" w:space="0" w:color="auto"/>
      </w:divBdr>
    </w:div>
    <w:div w:id="325213025">
      <w:bodyDiv w:val="1"/>
      <w:marLeft w:val="0"/>
      <w:marRight w:val="0"/>
      <w:marTop w:val="0"/>
      <w:marBottom w:val="0"/>
      <w:divBdr>
        <w:top w:val="none" w:sz="0" w:space="0" w:color="auto"/>
        <w:left w:val="none" w:sz="0" w:space="0" w:color="auto"/>
        <w:bottom w:val="none" w:sz="0" w:space="0" w:color="auto"/>
        <w:right w:val="none" w:sz="0" w:space="0" w:color="auto"/>
      </w:divBdr>
    </w:div>
    <w:div w:id="722798688">
      <w:bodyDiv w:val="1"/>
      <w:marLeft w:val="0"/>
      <w:marRight w:val="0"/>
      <w:marTop w:val="0"/>
      <w:marBottom w:val="0"/>
      <w:divBdr>
        <w:top w:val="none" w:sz="0" w:space="0" w:color="auto"/>
        <w:left w:val="none" w:sz="0" w:space="0" w:color="auto"/>
        <w:bottom w:val="none" w:sz="0" w:space="0" w:color="auto"/>
        <w:right w:val="none" w:sz="0" w:space="0" w:color="auto"/>
      </w:divBdr>
    </w:div>
    <w:div w:id="982081257">
      <w:bodyDiv w:val="1"/>
      <w:marLeft w:val="0"/>
      <w:marRight w:val="0"/>
      <w:marTop w:val="0"/>
      <w:marBottom w:val="0"/>
      <w:divBdr>
        <w:top w:val="none" w:sz="0" w:space="0" w:color="auto"/>
        <w:left w:val="none" w:sz="0" w:space="0" w:color="auto"/>
        <w:bottom w:val="none" w:sz="0" w:space="0" w:color="auto"/>
        <w:right w:val="none" w:sz="0" w:space="0" w:color="auto"/>
      </w:divBdr>
    </w:div>
    <w:div w:id="199171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9B8F-FD45-D841-A0DC-4DA373CE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652</Words>
  <Characters>3718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Raymond J</vt:lpstr>
    </vt:vector>
  </TitlesOfParts>
  <Company>LLNL</Company>
  <LinksUpToDate>false</LinksUpToDate>
  <CharactersWithSpaces>4362</CharactersWithSpaces>
  <SharedDoc>false</SharedDoc>
  <HLinks>
    <vt:vector size="6" baseType="variant">
      <vt:variant>
        <vt:i4>4718678</vt:i4>
      </vt:variant>
      <vt:variant>
        <vt:i4>1538</vt:i4>
      </vt:variant>
      <vt:variant>
        <vt:i4>1027</vt:i4>
      </vt:variant>
      <vt:variant>
        <vt:i4>1</vt:i4>
      </vt:variant>
      <vt:variant>
        <vt:lpwstr>Carter_Mike_1006_N1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Raymond J</dc:title>
  <dc:creator>Christine Shannon</dc:creator>
  <cp:lastModifiedBy>Default</cp:lastModifiedBy>
  <cp:revision>5</cp:revision>
  <cp:lastPrinted>2011-10-27T16:20:00Z</cp:lastPrinted>
  <dcterms:created xsi:type="dcterms:W3CDTF">2011-10-27T17:00:00Z</dcterms:created>
  <dcterms:modified xsi:type="dcterms:W3CDTF">2011-10-27T17:27:00Z</dcterms:modified>
</cp:coreProperties>
</file>